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93" w:rsidRDefault="00415CB5" w:rsidP="00415CB5">
      <w:pPr>
        <w:ind w:left="2592"/>
        <w:rPr>
          <w:b/>
          <w:sz w:val="22"/>
          <w:szCs w:val="22"/>
        </w:rPr>
      </w:pPr>
      <w:bookmarkStart w:id="0" w:name="_GoBack"/>
      <w:bookmarkEnd w:id="0"/>
      <w:r w:rsidRPr="00E115C3">
        <w:rPr>
          <w:b/>
          <w:sz w:val="22"/>
          <w:szCs w:val="22"/>
        </w:rPr>
        <w:t xml:space="preserve">               </w:t>
      </w:r>
    </w:p>
    <w:p w:rsidR="00415CB5" w:rsidRPr="00E115C3" w:rsidRDefault="00415CB5" w:rsidP="00415CB5">
      <w:pPr>
        <w:ind w:left="2592"/>
        <w:rPr>
          <w:b/>
          <w:sz w:val="22"/>
          <w:szCs w:val="22"/>
        </w:rPr>
      </w:pPr>
      <w:r w:rsidRPr="00E115C3">
        <w:rPr>
          <w:b/>
          <w:sz w:val="22"/>
          <w:szCs w:val="22"/>
        </w:rPr>
        <w:t xml:space="preserve"> PANEVĖŽIO MOKSLEIVIŲ NAMAI</w:t>
      </w:r>
    </w:p>
    <w:p w:rsidR="00415CB5" w:rsidRPr="00E115C3" w:rsidRDefault="00415CB5" w:rsidP="00415CB5">
      <w:pPr>
        <w:jc w:val="center"/>
        <w:rPr>
          <w:sz w:val="22"/>
          <w:szCs w:val="22"/>
        </w:rPr>
      </w:pPr>
      <w:r w:rsidRPr="00E115C3">
        <w:rPr>
          <w:sz w:val="22"/>
          <w:szCs w:val="22"/>
        </w:rPr>
        <w:t>Biudžetinė įstaiga, Parko g. 79, LT-37307 Panevėžys, kodas 290427210</w:t>
      </w:r>
    </w:p>
    <w:p w:rsidR="00415CB5" w:rsidRPr="00E115C3" w:rsidRDefault="00415CB5" w:rsidP="00415CB5">
      <w:pPr>
        <w:jc w:val="center"/>
        <w:rPr>
          <w:sz w:val="22"/>
          <w:szCs w:val="22"/>
          <w:u w:val="single"/>
        </w:rPr>
      </w:pPr>
      <w:r w:rsidRPr="00E115C3">
        <w:rPr>
          <w:sz w:val="22"/>
          <w:szCs w:val="22"/>
          <w:u w:val="single"/>
        </w:rPr>
        <w:t>Tel. Nr. (8</w:t>
      </w:r>
      <w:r w:rsidRPr="00E115C3">
        <w:rPr>
          <w:sz w:val="22"/>
          <w:szCs w:val="22"/>
          <w:u w:val="single"/>
          <w:lang w:val="en-US"/>
        </w:rPr>
        <w:t>-</w:t>
      </w:r>
      <w:r w:rsidRPr="00E115C3">
        <w:rPr>
          <w:sz w:val="22"/>
          <w:szCs w:val="22"/>
          <w:u w:val="single"/>
        </w:rPr>
        <w:t>45) 51 60 01, faks. Nr. (8-45) 44 39 71, El. p.: pmn.panevezys@gmail.com</w:t>
      </w:r>
    </w:p>
    <w:p w:rsidR="00415CB5" w:rsidRPr="00E115C3" w:rsidRDefault="00415CB5" w:rsidP="00415CB5">
      <w:pPr>
        <w:jc w:val="both"/>
        <w:rPr>
          <w:sz w:val="22"/>
          <w:szCs w:val="22"/>
        </w:rPr>
      </w:pPr>
    </w:p>
    <w:p w:rsidR="00415CB5" w:rsidRPr="00E115C3" w:rsidRDefault="00415CB5" w:rsidP="00415CB5">
      <w:pPr>
        <w:ind w:left="-284" w:hanging="850"/>
        <w:jc w:val="center"/>
        <w:rPr>
          <w:b/>
          <w:sz w:val="22"/>
          <w:szCs w:val="22"/>
        </w:rPr>
      </w:pPr>
      <w:r w:rsidRPr="00E115C3">
        <w:rPr>
          <w:b/>
          <w:sz w:val="22"/>
          <w:szCs w:val="22"/>
        </w:rPr>
        <w:t>NEFORMALIOJO VAIKŲ ŠVIETIMO TEIKIMO SUTARTIS</w:t>
      </w:r>
    </w:p>
    <w:p w:rsidR="00415CB5" w:rsidRPr="00E115C3" w:rsidRDefault="00415CB5" w:rsidP="00415CB5">
      <w:pPr>
        <w:jc w:val="center"/>
        <w:rPr>
          <w:sz w:val="22"/>
          <w:szCs w:val="22"/>
        </w:rPr>
      </w:pPr>
    </w:p>
    <w:p w:rsidR="00415CB5" w:rsidRPr="00E115C3" w:rsidRDefault="00415CB5" w:rsidP="00415CB5">
      <w:pPr>
        <w:jc w:val="center"/>
        <w:rPr>
          <w:sz w:val="22"/>
          <w:szCs w:val="22"/>
        </w:rPr>
      </w:pPr>
      <w:r w:rsidRPr="00E115C3">
        <w:rPr>
          <w:sz w:val="22"/>
          <w:szCs w:val="22"/>
        </w:rPr>
        <w:t>2018  m. ________________mėn. ____</w:t>
      </w:r>
      <w:r w:rsidR="00303593">
        <w:rPr>
          <w:sz w:val="22"/>
          <w:szCs w:val="22"/>
        </w:rPr>
        <w:t>__</w:t>
      </w:r>
      <w:r w:rsidRPr="00E115C3">
        <w:rPr>
          <w:sz w:val="22"/>
          <w:szCs w:val="22"/>
        </w:rPr>
        <w:t xml:space="preserve">d. Nr. </w:t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</w:r>
      <w:r w:rsidRPr="00E115C3">
        <w:rPr>
          <w:sz w:val="22"/>
          <w:szCs w:val="22"/>
        </w:rPr>
        <w:softHyphen/>
        <w:t>__________________</w:t>
      </w:r>
    </w:p>
    <w:p w:rsidR="00415CB5" w:rsidRPr="00E115C3" w:rsidRDefault="00415CB5" w:rsidP="00415CB5">
      <w:pPr>
        <w:jc w:val="center"/>
        <w:rPr>
          <w:sz w:val="22"/>
          <w:szCs w:val="22"/>
        </w:rPr>
      </w:pPr>
      <w:r w:rsidRPr="00E115C3">
        <w:rPr>
          <w:sz w:val="22"/>
          <w:szCs w:val="22"/>
        </w:rPr>
        <w:t>Panevėžys</w:t>
      </w:r>
    </w:p>
    <w:p w:rsidR="00415CB5" w:rsidRPr="00E115C3" w:rsidRDefault="00415CB5" w:rsidP="00415CB5">
      <w:pPr>
        <w:jc w:val="center"/>
        <w:rPr>
          <w:b/>
          <w:sz w:val="22"/>
          <w:szCs w:val="22"/>
        </w:rPr>
      </w:pPr>
    </w:p>
    <w:p w:rsidR="00415CB5" w:rsidRPr="00FE01AC" w:rsidRDefault="00FE01AC" w:rsidP="00FE01AC">
      <w:pPr>
        <w:pStyle w:val="Sraopastraipa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I. </w:t>
      </w:r>
      <w:r w:rsidR="00415CB5" w:rsidRPr="00FE01AC">
        <w:rPr>
          <w:b/>
          <w:sz w:val="22"/>
          <w:szCs w:val="22"/>
        </w:rPr>
        <w:t>SUTARTIES ŠALYS</w:t>
      </w:r>
    </w:p>
    <w:p w:rsidR="00FE01AC" w:rsidRPr="00FE01AC" w:rsidRDefault="00FE01AC" w:rsidP="00FE01AC">
      <w:pPr>
        <w:pStyle w:val="Sraopastraipa"/>
        <w:ind w:left="1080"/>
        <w:rPr>
          <w:b/>
          <w:sz w:val="22"/>
          <w:szCs w:val="22"/>
        </w:rPr>
      </w:pPr>
    </w:p>
    <w:p w:rsidR="00415CB5" w:rsidRPr="00E115C3" w:rsidRDefault="00FE01AC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15CB5" w:rsidRPr="00E115C3">
        <w:rPr>
          <w:sz w:val="22"/>
          <w:szCs w:val="22"/>
        </w:rPr>
        <w:t xml:space="preserve">Panevėžio moksleivių namai (toliau – </w:t>
      </w:r>
      <w:r w:rsidR="00415CB5" w:rsidRPr="00E115C3">
        <w:rPr>
          <w:b/>
          <w:sz w:val="22"/>
          <w:szCs w:val="22"/>
        </w:rPr>
        <w:t>Paslaugos teikėjas</w:t>
      </w:r>
      <w:r w:rsidR="00415CB5" w:rsidRPr="00E115C3">
        <w:rPr>
          <w:sz w:val="22"/>
          <w:szCs w:val="22"/>
        </w:rPr>
        <w:t>), atstovaujami mokyklos direktorės Ramintos Juzėnienės, veikiančios pagal mokyklos nuostatus (viena šalis) ir tėvai (globėjai, rūpintojai) – (kita šalis),</w:t>
      </w:r>
    </w:p>
    <w:p w:rsidR="00415CB5" w:rsidRPr="00E115C3" w:rsidRDefault="00415CB5" w:rsidP="00415CB5">
      <w:pPr>
        <w:pBdr>
          <w:bottom w:val="single" w:sz="4" w:space="1" w:color="auto"/>
        </w:pBdr>
        <w:ind w:firstLine="720"/>
        <w:jc w:val="both"/>
        <w:rPr>
          <w:sz w:val="22"/>
          <w:szCs w:val="22"/>
        </w:rPr>
      </w:pPr>
    </w:p>
    <w:p w:rsidR="00415CB5" w:rsidRPr="00E115C3" w:rsidRDefault="00415CB5" w:rsidP="00415CB5">
      <w:pPr>
        <w:pBdr>
          <w:bottom w:val="single" w:sz="4" w:space="1" w:color="auto"/>
        </w:pBdr>
        <w:ind w:firstLine="720"/>
        <w:jc w:val="both"/>
        <w:rPr>
          <w:sz w:val="22"/>
          <w:szCs w:val="22"/>
        </w:rPr>
      </w:pPr>
    </w:p>
    <w:p w:rsidR="00415CB5" w:rsidRPr="00E115C3" w:rsidRDefault="00415CB5" w:rsidP="00415CB5">
      <w:pPr>
        <w:ind w:hanging="284"/>
        <w:jc w:val="both"/>
        <w:rPr>
          <w:i/>
          <w:sz w:val="22"/>
          <w:szCs w:val="22"/>
          <w:lang w:val="pt-BR"/>
        </w:rPr>
      </w:pPr>
      <w:r w:rsidRPr="00E115C3">
        <w:rPr>
          <w:sz w:val="22"/>
          <w:szCs w:val="22"/>
          <w:lang w:val="pt-BR"/>
        </w:rPr>
        <w:t xml:space="preserve">      (</w:t>
      </w:r>
      <w:r w:rsidRPr="00E115C3">
        <w:rPr>
          <w:i/>
          <w:sz w:val="22"/>
          <w:szCs w:val="22"/>
          <w:lang w:val="pt-BR"/>
        </w:rPr>
        <w:t>Vieno iš tėvų, globėjų, rūpintojų vardas, pavardė)</w:t>
      </w:r>
    </w:p>
    <w:p w:rsidR="00415CB5" w:rsidRDefault="00415CB5" w:rsidP="00415CB5">
      <w:pPr>
        <w:jc w:val="both"/>
        <w:rPr>
          <w:sz w:val="22"/>
          <w:szCs w:val="22"/>
        </w:rPr>
      </w:pPr>
      <w:r w:rsidRPr="00E115C3">
        <w:rPr>
          <w:sz w:val="22"/>
          <w:szCs w:val="22"/>
        </w:rPr>
        <w:t xml:space="preserve">atstovaujantys vaiko interesams (toliau – </w:t>
      </w:r>
      <w:r w:rsidRPr="00E115C3">
        <w:rPr>
          <w:b/>
          <w:sz w:val="22"/>
          <w:szCs w:val="22"/>
        </w:rPr>
        <w:t>Paslaugos gavėjas</w:t>
      </w:r>
      <w:r w:rsidRPr="00E115C3">
        <w:rPr>
          <w:sz w:val="22"/>
          <w:szCs w:val="22"/>
        </w:rPr>
        <w:t xml:space="preserve">), </w:t>
      </w:r>
    </w:p>
    <w:p w:rsidR="00303593" w:rsidRPr="00E115C3" w:rsidRDefault="00303593" w:rsidP="00415CB5">
      <w:pPr>
        <w:jc w:val="both"/>
        <w:rPr>
          <w:sz w:val="22"/>
          <w:szCs w:val="22"/>
        </w:rPr>
      </w:pPr>
    </w:p>
    <w:p w:rsidR="00415CB5" w:rsidRPr="00E115C3" w:rsidRDefault="00415CB5" w:rsidP="00415CB5">
      <w:pPr>
        <w:pBdr>
          <w:bottom w:val="single" w:sz="4" w:space="2" w:color="auto"/>
        </w:pBdr>
        <w:jc w:val="both"/>
        <w:rPr>
          <w:sz w:val="22"/>
          <w:szCs w:val="22"/>
        </w:rPr>
      </w:pPr>
    </w:p>
    <w:p w:rsidR="00415CB5" w:rsidRPr="00E115C3" w:rsidRDefault="00415CB5" w:rsidP="00415CB5">
      <w:pPr>
        <w:jc w:val="both"/>
        <w:rPr>
          <w:i/>
          <w:sz w:val="22"/>
          <w:szCs w:val="22"/>
        </w:rPr>
      </w:pPr>
      <w:r w:rsidRPr="00E115C3">
        <w:rPr>
          <w:i/>
          <w:sz w:val="22"/>
          <w:szCs w:val="22"/>
        </w:rPr>
        <w:t>(Vaiko vardas, pavardė didžiosiomis spausdintinėmis raidėmis)</w:t>
      </w:r>
    </w:p>
    <w:tbl>
      <w:tblPr>
        <w:tblStyle w:val="Lentelstinklelis"/>
        <w:tblpPr w:leftFromText="180" w:rightFromText="180" w:vertAnchor="text" w:horzAnchor="margin" w:tblpXSpec="right" w:tblpY="1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571"/>
        <w:gridCol w:w="567"/>
        <w:gridCol w:w="567"/>
        <w:gridCol w:w="573"/>
        <w:gridCol w:w="567"/>
        <w:gridCol w:w="561"/>
        <w:gridCol w:w="431"/>
        <w:gridCol w:w="436"/>
        <w:gridCol w:w="425"/>
      </w:tblGrid>
      <w:tr w:rsidR="004A503D" w:rsidRPr="00E115C3" w:rsidTr="004A503D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5" w:rsidRPr="00E115C3" w:rsidRDefault="00415CB5" w:rsidP="00415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5" w:rsidRPr="00E115C3" w:rsidRDefault="00415CB5" w:rsidP="00415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5" w:rsidRPr="00E115C3" w:rsidRDefault="00415CB5" w:rsidP="00415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5" w:rsidRPr="00E115C3" w:rsidRDefault="00415CB5" w:rsidP="00415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5" w:rsidRPr="00E115C3" w:rsidRDefault="00415CB5" w:rsidP="00415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5" w:rsidRPr="00E115C3" w:rsidRDefault="00415CB5" w:rsidP="00415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5" w:rsidRPr="00E115C3" w:rsidRDefault="00415CB5" w:rsidP="00415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5" w:rsidRPr="00E115C3" w:rsidRDefault="00415CB5" w:rsidP="00415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5" w:rsidRPr="00E115C3" w:rsidRDefault="00415CB5" w:rsidP="00415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5" w:rsidRPr="00E115C3" w:rsidRDefault="00415CB5" w:rsidP="00415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5" w:rsidRPr="00E115C3" w:rsidRDefault="00415CB5" w:rsidP="00415CB5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415CB5" w:rsidRPr="00E115C3" w:rsidRDefault="00415CB5" w:rsidP="00415CB5">
      <w:pPr>
        <w:jc w:val="both"/>
        <w:rPr>
          <w:b/>
          <w:i/>
          <w:sz w:val="22"/>
          <w:szCs w:val="22"/>
        </w:rPr>
      </w:pPr>
      <w:r w:rsidRPr="00E115C3">
        <w:rPr>
          <w:b/>
          <w:i/>
          <w:sz w:val="22"/>
          <w:szCs w:val="22"/>
        </w:rPr>
        <w:t>vaiko asmens kodas (įrašyti privaloma)</w:t>
      </w:r>
    </w:p>
    <w:p w:rsidR="00415CB5" w:rsidRPr="00E115C3" w:rsidRDefault="00415CB5" w:rsidP="00415CB5">
      <w:pPr>
        <w:jc w:val="both"/>
        <w:rPr>
          <w:sz w:val="22"/>
          <w:szCs w:val="22"/>
        </w:rPr>
      </w:pPr>
    </w:p>
    <w:p w:rsidR="00415CB5" w:rsidRDefault="00415CB5" w:rsidP="00415CB5">
      <w:pPr>
        <w:jc w:val="both"/>
        <w:rPr>
          <w:sz w:val="22"/>
          <w:szCs w:val="22"/>
        </w:rPr>
      </w:pPr>
      <w:r w:rsidRPr="00E115C3">
        <w:rPr>
          <w:sz w:val="22"/>
          <w:szCs w:val="22"/>
        </w:rPr>
        <w:t xml:space="preserve">sudaro šią </w:t>
      </w:r>
      <w:r w:rsidR="00FE01AC">
        <w:rPr>
          <w:sz w:val="22"/>
          <w:szCs w:val="22"/>
        </w:rPr>
        <w:t>neformaliojo vaikų švietimo</w:t>
      </w:r>
      <w:r w:rsidRPr="00E115C3">
        <w:rPr>
          <w:sz w:val="22"/>
          <w:szCs w:val="22"/>
        </w:rPr>
        <w:t xml:space="preserve"> teikimo sutartį:</w:t>
      </w:r>
    </w:p>
    <w:p w:rsidR="00FE01AC" w:rsidRPr="00E115C3" w:rsidRDefault="00FE01AC" w:rsidP="00415CB5">
      <w:pPr>
        <w:jc w:val="both"/>
        <w:rPr>
          <w:sz w:val="22"/>
          <w:szCs w:val="22"/>
        </w:rPr>
      </w:pPr>
    </w:p>
    <w:p w:rsidR="00415CB5" w:rsidRDefault="00415CB5" w:rsidP="00415CB5">
      <w:pPr>
        <w:jc w:val="center"/>
        <w:rPr>
          <w:b/>
          <w:sz w:val="22"/>
          <w:szCs w:val="22"/>
        </w:rPr>
      </w:pPr>
      <w:r w:rsidRPr="00E115C3">
        <w:rPr>
          <w:b/>
          <w:sz w:val="22"/>
          <w:szCs w:val="22"/>
        </w:rPr>
        <w:t>II. SUTARTIES OBJEKTAS</w:t>
      </w:r>
    </w:p>
    <w:p w:rsidR="00FE01AC" w:rsidRPr="00E115C3" w:rsidRDefault="00FE01AC" w:rsidP="00415CB5">
      <w:pPr>
        <w:jc w:val="center"/>
        <w:rPr>
          <w:b/>
          <w:sz w:val="22"/>
          <w:szCs w:val="22"/>
        </w:rPr>
      </w:pPr>
    </w:p>
    <w:p w:rsidR="00415CB5" w:rsidRPr="00E115C3" w:rsidRDefault="00FE01AC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15CB5" w:rsidRPr="00E115C3">
        <w:rPr>
          <w:sz w:val="22"/>
          <w:szCs w:val="22"/>
        </w:rPr>
        <w:t xml:space="preserve">. Ši sutartis nustato </w:t>
      </w:r>
      <w:r w:rsidRPr="00FE01AC">
        <w:rPr>
          <w:b/>
          <w:sz w:val="22"/>
          <w:szCs w:val="22"/>
        </w:rPr>
        <w:t>Paslaugos gavėjo</w:t>
      </w:r>
      <w:r>
        <w:rPr>
          <w:sz w:val="22"/>
          <w:szCs w:val="22"/>
        </w:rPr>
        <w:t xml:space="preserve"> (vaiko)</w:t>
      </w:r>
      <w:r w:rsidR="00415CB5" w:rsidRPr="00E115C3">
        <w:rPr>
          <w:sz w:val="22"/>
          <w:szCs w:val="22"/>
        </w:rPr>
        <w:t xml:space="preserve"> priėmimą į </w:t>
      </w:r>
      <w:r w:rsidRPr="00FE01AC">
        <w:rPr>
          <w:b/>
          <w:sz w:val="22"/>
          <w:szCs w:val="22"/>
        </w:rPr>
        <w:t>Paslaugos teikėjo</w:t>
      </w:r>
      <w:r>
        <w:rPr>
          <w:sz w:val="22"/>
          <w:szCs w:val="22"/>
        </w:rPr>
        <w:t xml:space="preserve"> vykdomas</w:t>
      </w:r>
      <w:r w:rsidR="00415CB5" w:rsidRPr="00E115C3">
        <w:rPr>
          <w:sz w:val="22"/>
          <w:szCs w:val="22"/>
        </w:rPr>
        <w:t xml:space="preserve">  neformaliojo vaikų švietimo (toliau – NVŠ) </w:t>
      </w:r>
      <w:r>
        <w:rPr>
          <w:sz w:val="22"/>
          <w:szCs w:val="22"/>
        </w:rPr>
        <w:t>programas</w:t>
      </w:r>
      <w:r w:rsidR="00415CB5" w:rsidRPr="00E115C3">
        <w:rPr>
          <w:sz w:val="22"/>
          <w:szCs w:val="22"/>
        </w:rPr>
        <w:t xml:space="preserve">. </w:t>
      </w:r>
      <w:r w:rsidR="00415CB5" w:rsidRPr="00E115C3">
        <w:rPr>
          <w:b/>
          <w:sz w:val="22"/>
          <w:szCs w:val="22"/>
        </w:rPr>
        <w:t>Paslaugos teikėjas</w:t>
      </w:r>
      <w:r w:rsidR="00415CB5" w:rsidRPr="00E115C3">
        <w:rPr>
          <w:sz w:val="22"/>
          <w:szCs w:val="22"/>
        </w:rPr>
        <w:t xml:space="preserve"> įsipareigoja ugdyti </w:t>
      </w:r>
      <w:r w:rsidR="00415CB5" w:rsidRPr="00E115C3">
        <w:rPr>
          <w:b/>
          <w:sz w:val="22"/>
          <w:szCs w:val="22"/>
        </w:rPr>
        <w:t>Paslaugos gavėją</w:t>
      </w:r>
      <w:r w:rsidR="00415CB5" w:rsidRPr="00E115C3">
        <w:rPr>
          <w:sz w:val="22"/>
          <w:szCs w:val="22"/>
        </w:rPr>
        <w:t xml:space="preserve"> pagal jo pasirinktą </w:t>
      </w:r>
      <w:r>
        <w:rPr>
          <w:sz w:val="22"/>
          <w:szCs w:val="22"/>
        </w:rPr>
        <w:t xml:space="preserve">NVŠ </w:t>
      </w:r>
      <w:r w:rsidR="00415CB5" w:rsidRPr="00E115C3">
        <w:rPr>
          <w:sz w:val="22"/>
          <w:szCs w:val="22"/>
        </w:rPr>
        <w:t>programą</w:t>
      </w:r>
    </w:p>
    <w:p w:rsidR="00415CB5" w:rsidRPr="00E115C3" w:rsidRDefault="00415CB5" w:rsidP="00415CB5">
      <w:pPr>
        <w:jc w:val="center"/>
        <w:rPr>
          <w:sz w:val="22"/>
          <w:szCs w:val="22"/>
        </w:rPr>
      </w:pPr>
    </w:p>
    <w:p w:rsidR="00415CB5" w:rsidRPr="00E115C3" w:rsidRDefault="00415CB5" w:rsidP="00415CB5">
      <w:pPr>
        <w:jc w:val="center"/>
        <w:rPr>
          <w:b/>
          <w:i/>
          <w:sz w:val="22"/>
          <w:szCs w:val="22"/>
        </w:rPr>
      </w:pPr>
      <w:r w:rsidRPr="00E115C3">
        <w:rPr>
          <w:sz w:val="22"/>
          <w:szCs w:val="22"/>
        </w:rPr>
        <w:t>______________________________________________________________________________________</w:t>
      </w:r>
      <w:r>
        <w:rPr>
          <w:b/>
          <w:i/>
          <w:sz w:val="22"/>
          <w:szCs w:val="22"/>
        </w:rPr>
        <w:t>____</w:t>
      </w:r>
      <w:r w:rsidRPr="00E115C3">
        <w:rPr>
          <w:b/>
          <w:i/>
          <w:sz w:val="22"/>
          <w:szCs w:val="22"/>
        </w:rPr>
        <w:t xml:space="preserve">                                                                            (Įrašyti būrelio pavadinimą)</w:t>
      </w:r>
    </w:p>
    <w:p w:rsidR="00415CB5" w:rsidRPr="00E115C3" w:rsidRDefault="00415CB5" w:rsidP="00415CB5">
      <w:pPr>
        <w:jc w:val="both"/>
        <w:rPr>
          <w:sz w:val="22"/>
          <w:szCs w:val="22"/>
        </w:rPr>
      </w:pPr>
      <w:r w:rsidRPr="00E115C3">
        <w:rPr>
          <w:sz w:val="22"/>
          <w:szCs w:val="22"/>
        </w:rPr>
        <w:t xml:space="preserve">pagal mokykloje direktoriaus įsakymu patvirtintą būrelių (grupių) darbo grafiką.                                                                       </w:t>
      </w:r>
    </w:p>
    <w:p w:rsidR="00415CB5" w:rsidRDefault="00415CB5" w:rsidP="00415CB5">
      <w:pPr>
        <w:jc w:val="both"/>
        <w:rPr>
          <w:sz w:val="22"/>
          <w:szCs w:val="22"/>
        </w:rPr>
      </w:pPr>
    </w:p>
    <w:p w:rsidR="00415CB5" w:rsidRDefault="00415CB5" w:rsidP="00415CB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SUTARTIES ŠALIŲ ĮSIPAREIGOJIMAI</w:t>
      </w:r>
    </w:p>
    <w:p w:rsidR="00415CB5" w:rsidRDefault="00415CB5" w:rsidP="00415CB5">
      <w:pPr>
        <w:ind w:left="360"/>
        <w:jc w:val="center"/>
        <w:rPr>
          <w:b/>
          <w:sz w:val="22"/>
          <w:szCs w:val="22"/>
        </w:rPr>
      </w:pPr>
    </w:p>
    <w:p w:rsidR="00415CB5" w:rsidRDefault="00415CB5" w:rsidP="00415C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3.Paslaugos teikėjas </w:t>
      </w:r>
      <w:r w:rsidRPr="00626A87">
        <w:rPr>
          <w:sz w:val="22"/>
          <w:szCs w:val="22"/>
        </w:rPr>
        <w:t>įsipareigoja: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3.1.Suteikti galimybę </w:t>
      </w:r>
      <w:r w:rsidRPr="00AE324A">
        <w:rPr>
          <w:b/>
          <w:sz w:val="22"/>
          <w:szCs w:val="22"/>
        </w:rPr>
        <w:t>Paslaugos gavėjui</w:t>
      </w:r>
      <w:r>
        <w:rPr>
          <w:sz w:val="22"/>
          <w:szCs w:val="22"/>
        </w:rPr>
        <w:t xml:space="preserve"> pasirinkti ir lankyti pasirinktą </w:t>
      </w:r>
      <w:r w:rsidR="00AE324A">
        <w:rPr>
          <w:sz w:val="22"/>
          <w:szCs w:val="22"/>
        </w:rPr>
        <w:t>NVŠ</w:t>
      </w:r>
      <w:r>
        <w:rPr>
          <w:sz w:val="22"/>
          <w:szCs w:val="22"/>
        </w:rPr>
        <w:t xml:space="preserve"> programą, pateikus mokyklos direktoriui raštišką tėvų (globėjų, rūpintojų) prašymą,  nustatytos formos</w:t>
      </w:r>
      <w:r w:rsidR="0055033E">
        <w:rPr>
          <w:sz w:val="22"/>
          <w:szCs w:val="22"/>
        </w:rPr>
        <w:t xml:space="preserve"> vaiko sveikatos</w:t>
      </w:r>
      <w:r>
        <w:rPr>
          <w:sz w:val="22"/>
          <w:szCs w:val="22"/>
        </w:rPr>
        <w:t xml:space="preserve"> pažymos kopiją</w:t>
      </w:r>
      <w:r w:rsidR="00AE324A">
        <w:rPr>
          <w:sz w:val="22"/>
          <w:szCs w:val="22"/>
        </w:rPr>
        <w:t xml:space="preserve"> ar</w:t>
      </w:r>
      <w:r w:rsidR="0055033E">
        <w:rPr>
          <w:sz w:val="22"/>
          <w:szCs w:val="22"/>
        </w:rPr>
        <w:t xml:space="preserve"> </w:t>
      </w:r>
      <w:r w:rsidR="00AE324A">
        <w:rPr>
          <w:sz w:val="22"/>
          <w:szCs w:val="22"/>
        </w:rPr>
        <w:t xml:space="preserve"> elektroninės </w:t>
      </w:r>
      <w:r w:rsidR="0055033E">
        <w:rPr>
          <w:sz w:val="22"/>
          <w:szCs w:val="22"/>
        </w:rPr>
        <w:t xml:space="preserve">vaiko sveikatos pažymos peržiūros </w:t>
      </w:r>
      <w:r w:rsidR="00AE324A">
        <w:rPr>
          <w:sz w:val="22"/>
          <w:szCs w:val="22"/>
        </w:rPr>
        <w:t>kodą</w:t>
      </w:r>
      <w:r>
        <w:rPr>
          <w:sz w:val="22"/>
          <w:szCs w:val="22"/>
        </w:rPr>
        <w:t xml:space="preserve"> ir sudarius </w:t>
      </w:r>
      <w:r w:rsidR="005D1CFF">
        <w:rPr>
          <w:sz w:val="22"/>
          <w:szCs w:val="22"/>
        </w:rPr>
        <w:t>NVŠ</w:t>
      </w:r>
      <w:r>
        <w:rPr>
          <w:sz w:val="22"/>
          <w:szCs w:val="22"/>
        </w:rPr>
        <w:t xml:space="preserve"> teikimo sutartį.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3.2.Užtikrinti kokybišką </w:t>
      </w:r>
      <w:r w:rsidR="0055033E">
        <w:rPr>
          <w:sz w:val="22"/>
          <w:szCs w:val="22"/>
        </w:rPr>
        <w:t>NVŠ</w:t>
      </w:r>
      <w:r>
        <w:rPr>
          <w:sz w:val="22"/>
          <w:szCs w:val="22"/>
        </w:rPr>
        <w:t xml:space="preserve"> programos vykdymą, pagal mokinių poreikius ir interesus konkretinti ir individualizuoti ugdymo turinį, siekti gerų ugdymo rezultatų.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D32E05">
        <w:rPr>
          <w:sz w:val="22"/>
          <w:szCs w:val="22"/>
        </w:rPr>
        <w:t>P</w:t>
      </w:r>
      <w:r w:rsidR="0055033E">
        <w:rPr>
          <w:sz w:val="22"/>
          <w:szCs w:val="22"/>
        </w:rPr>
        <w:t xml:space="preserve">agal </w:t>
      </w:r>
      <w:r w:rsidR="00D32E05" w:rsidRPr="00D32E05">
        <w:rPr>
          <w:b/>
          <w:sz w:val="22"/>
          <w:szCs w:val="22"/>
        </w:rPr>
        <w:t>Paslaugos teikėjo</w:t>
      </w:r>
      <w:r w:rsidR="0055033E">
        <w:rPr>
          <w:sz w:val="22"/>
          <w:szCs w:val="22"/>
        </w:rPr>
        <w:t xml:space="preserve"> galimybes u</w:t>
      </w:r>
      <w:r>
        <w:rPr>
          <w:sz w:val="22"/>
          <w:szCs w:val="22"/>
        </w:rPr>
        <w:t xml:space="preserve">žtikrinti tinkamas ugdymo sąlygas ir </w:t>
      </w:r>
      <w:r w:rsidR="0055033E">
        <w:rPr>
          <w:sz w:val="22"/>
          <w:szCs w:val="22"/>
        </w:rPr>
        <w:t xml:space="preserve">siekti </w:t>
      </w:r>
      <w:r>
        <w:rPr>
          <w:sz w:val="22"/>
          <w:szCs w:val="22"/>
        </w:rPr>
        <w:t>saugum</w:t>
      </w:r>
      <w:r w:rsidR="0055033E">
        <w:rPr>
          <w:sz w:val="22"/>
          <w:szCs w:val="22"/>
        </w:rPr>
        <w:t>o</w:t>
      </w:r>
      <w:r>
        <w:rPr>
          <w:sz w:val="22"/>
          <w:szCs w:val="22"/>
        </w:rPr>
        <w:t xml:space="preserve"> ugdymo procese.</w:t>
      </w:r>
    </w:p>
    <w:p w:rsidR="00415CB5" w:rsidRDefault="00415CB5" w:rsidP="00415CB5">
      <w:pPr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3.4.Leisti </w:t>
      </w:r>
      <w:r w:rsidRPr="0055033E">
        <w:rPr>
          <w:b/>
          <w:sz w:val="22"/>
          <w:szCs w:val="22"/>
        </w:rPr>
        <w:t>Paslaug</w:t>
      </w:r>
      <w:r w:rsidR="0055033E">
        <w:rPr>
          <w:b/>
          <w:sz w:val="22"/>
          <w:szCs w:val="22"/>
        </w:rPr>
        <w:t>os</w:t>
      </w:r>
      <w:r w:rsidRPr="0055033E">
        <w:rPr>
          <w:b/>
          <w:sz w:val="22"/>
          <w:szCs w:val="22"/>
        </w:rPr>
        <w:t xml:space="preserve"> gavėjui</w:t>
      </w:r>
      <w:r>
        <w:rPr>
          <w:sz w:val="22"/>
          <w:szCs w:val="22"/>
        </w:rPr>
        <w:t xml:space="preserve"> naudotis mokesčio lengvata už ugdymą galiojančių teisės aktų nustatyta tvarka.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3.5.Dalinai aprūpinti reikalingomis ugdymo priemonėmis, atsižvelgiant į turimas lėšas.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3.6.Supažindinti </w:t>
      </w:r>
      <w:r w:rsidR="00D32E05">
        <w:rPr>
          <w:b/>
          <w:sz w:val="22"/>
          <w:szCs w:val="22"/>
        </w:rPr>
        <w:t>Paslaugos gavėją</w:t>
      </w:r>
      <w:r>
        <w:rPr>
          <w:sz w:val="22"/>
          <w:szCs w:val="22"/>
        </w:rPr>
        <w:t xml:space="preserve"> su </w:t>
      </w:r>
      <w:r w:rsidR="00D32E05">
        <w:rPr>
          <w:sz w:val="22"/>
          <w:szCs w:val="22"/>
        </w:rPr>
        <w:t>pasirinktos NVŠ programos</w:t>
      </w:r>
      <w:r>
        <w:rPr>
          <w:sz w:val="22"/>
          <w:szCs w:val="22"/>
        </w:rPr>
        <w:t xml:space="preserve"> veiklos rezultatais.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3.7.Užtikrinti,</w:t>
      </w:r>
      <w:r w:rsidR="005503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kad </w:t>
      </w:r>
      <w:r w:rsidRPr="0055033E">
        <w:rPr>
          <w:b/>
          <w:sz w:val="22"/>
          <w:szCs w:val="22"/>
        </w:rPr>
        <w:t>Paslaug</w:t>
      </w:r>
      <w:r w:rsidR="0055033E" w:rsidRPr="0055033E">
        <w:rPr>
          <w:b/>
          <w:sz w:val="22"/>
          <w:szCs w:val="22"/>
        </w:rPr>
        <w:t>os</w:t>
      </w:r>
      <w:r w:rsidRPr="0055033E">
        <w:rPr>
          <w:b/>
          <w:sz w:val="22"/>
          <w:szCs w:val="22"/>
        </w:rPr>
        <w:t xml:space="preserve"> gavėją</w:t>
      </w:r>
      <w:r>
        <w:rPr>
          <w:sz w:val="22"/>
          <w:szCs w:val="22"/>
        </w:rPr>
        <w:t xml:space="preserve"> ugdys LR švietimo įstatymo nustatytus reikalavimus atitinkantys mokytojai.</w:t>
      </w:r>
    </w:p>
    <w:p w:rsidR="00415CB5" w:rsidRDefault="00415CB5" w:rsidP="00415C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4.Paslaugos teikėjas </w:t>
      </w:r>
      <w:r w:rsidRPr="00D32E05">
        <w:rPr>
          <w:sz w:val="22"/>
          <w:szCs w:val="22"/>
        </w:rPr>
        <w:t>turi teisę</w:t>
      </w:r>
      <w:r>
        <w:rPr>
          <w:b/>
          <w:sz w:val="22"/>
          <w:szCs w:val="22"/>
        </w:rPr>
        <w:t>: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4.1.Pateikti </w:t>
      </w:r>
      <w:r w:rsidRPr="0055033E">
        <w:rPr>
          <w:b/>
          <w:sz w:val="22"/>
          <w:szCs w:val="22"/>
        </w:rPr>
        <w:t>Paslaugos gavėjo</w:t>
      </w:r>
      <w:r>
        <w:rPr>
          <w:sz w:val="22"/>
          <w:szCs w:val="22"/>
        </w:rPr>
        <w:t xml:space="preserve"> vardą, pavardę, asmens kodą ir </w:t>
      </w:r>
      <w:r w:rsidR="0055033E">
        <w:rPr>
          <w:sz w:val="22"/>
          <w:szCs w:val="22"/>
        </w:rPr>
        <w:t xml:space="preserve">kontaktus ir </w:t>
      </w:r>
      <w:r>
        <w:rPr>
          <w:sz w:val="22"/>
          <w:szCs w:val="22"/>
        </w:rPr>
        <w:t xml:space="preserve">kitus būtinus duomenis Panevėžio miesto savivaldybei, Mokinių registrui dėl </w:t>
      </w:r>
      <w:r w:rsidR="0055033E">
        <w:rPr>
          <w:sz w:val="22"/>
          <w:szCs w:val="22"/>
        </w:rPr>
        <w:t>NVŠ</w:t>
      </w:r>
      <w:r>
        <w:rPr>
          <w:sz w:val="22"/>
          <w:szCs w:val="22"/>
        </w:rPr>
        <w:t xml:space="preserve"> programos finansavimo, mokinių apskaitos.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4.2. Pareikalauti iš vaiko tėvų (globėjų, rūpintojų)</w:t>
      </w:r>
      <w:r>
        <w:rPr>
          <w:color w:val="FF0000"/>
          <w:sz w:val="22"/>
          <w:szCs w:val="22"/>
        </w:rPr>
        <w:t xml:space="preserve"> </w:t>
      </w:r>
      <w:r w:rsidRPr="0055033E">
        <w:rPr>
          <w:b/>
          <w:sz w:val="22"/>
          <w:szCs w:val="22"/>
        </w:rPr>
        <w:t>Paslaugos teikėjo</w:t>
      </w:r>
      <w:r>
        <w:rPr>
          <w:sz w:val="22"/>
          <w:szCs w:val="22"/>
        </w:rPr>
        <w:t xml:space="preserve"> nustatyta tvarka ir terminais sumokėti mokyklos steigėjo nustatyto dydžio atlyginimą už neformalųjį vaikų švietimą.</w:t>
      </w:r>
    </w:p>
    <w:p w:rsidR="00D32E0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4.3.Iš anksto informavus tėvus (globėjus, rūpintojus) išbraukti iš mokinių sąrašų ir kitų veiklos dokumentų </w:t>
      </w:r>
      <w:r w:rsidRPr="0055033E">
        <w:rPr>
          <w:b/>
          <w:sz w:val="22"/>
          <w:szCs w:val="22"/>
        </w:rPr>
        <w:t>Paslaugos gavėją</w:t>
      </w:r>
      <w:r w:rsidR="00D32E05">
        <w:rPr>
          <w:b/>
          <w:sz w:val="22"/>
          <w:szCs w:val="22"/>
        </w:rPr>
        <w:t xml:space="preserve"> </w:t>
      </w:r>
      <w:r w:rsidR="00D32E05" w:rsidRPr="00D32E05">
        <w:rPr>
          <w:sz w:val="22"/>
          <w:szCs w:val="22"/>
        </w:rPr>
        <w:t>(mokinį)</w:t>
      </w:r>
      <w:r>
        <w:rPr>
          <w:sz w:val="22"/>
          <w:szCs w:val="22"/>
        </w:rPr>
        <w:t>, už kurio ugdymą tėvai (globėjai, rūpintoj</w:t>
      </w:r>
      <w:r w:rsidR="00D32E05">
        <w:rPr>
          <w:sz w:val="22"/>
          <w:szCs w:val="22"/>
        </w:rPr>
        <w:t>ai) laiku nesumokėjo atlyginimo.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4.4.Taikyti įvairias drausminimo priemones vaikui (pastaba, pranešimas tėvams), kuris nesilaiko priimtų elgesio normų, </w:t>
      </w:r>
      <w:r w:rsidR="0055033E">
        <w:rPr>
          <w:sz w:val="22"/>
          <w:szCs w:val="22"/>
        </w:rPr>
        <w:t>mokyklos m</w:t>
      </w:r>
      <w:r>
        <w:rPr>
          <w:sz w:val="22"/>
          <w:szCs w:val="22"/>
        </w:rPr>
        <w:t>okinių vidaus tvarkos taisyklių.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4.5.Pareikalauti iš tėvų (globėjų, rūpintojų) atlyginti nuostolius mokyklai (pagal rinkos kainą) už tyčia vaiko padarytą materialinę žalą Civilinio kodekso nustatyta tvarka.</w:t>
      </w:r>
    </w:p>
    <w:p w:rsidR="00415CB5" w:rsidRPr="00D32E05" w:rsidRDefault="00415CB5" w:rsidP="00415C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5.Paslaugos gavėjas </w:t>
      </w:r>
      <w:r w:rsidRPr="00D32E05">
        <w:rPr>
          <w:sz w:val="22"/>
          <w:szCs w:val="22"/>
        </w:rPr>
        <w:t>įsipareigoja: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b/>
          <w:sz w:val="22"/>
          <w:szCs w:val="22"/>
        </w:rPr>
        <w:t xml:space="preserve"> </w:t>
      </w:r>
      <w:r w:rsidRPr="00D32E05">
        <w:rPr>
          <w:b/>
          <w:sz w:val="22"/>
          <w:szCs w:val="22"/>
        </w:rPr>
        <w:t>Paslaugos teikėjo</w:t>
      </w:r>
      <w:r>
        <w:rPr>
          <w:sz w:val="22"/>
          <w:szCs w:val="22"/>
        </w:rPr>
        <w:t xml:space="preserve"> nustatyta tvarka</w:t>
      </w:r>
      <w:r w:rsidR="00D32E05">
        <w:rPr>
          <w:sz w:val="22"/>
          <w:szCs w:val="22"/>
        </w:rPr>
        <w:t xml:space="preserve"> ir terminais</w:t>
      </w:r>
      <w:r>
        <w:rPr>
          <w:sz w:val="22"/>
          <w:szCs w:val="22"/>
        </w:rPr>
        <w:t xml:space="preserve"> sumokėti atlyginimą už </w:t>
      </w:r>
      <w:r w:rsidR="00D32E05">
        <w:rPr>
          <w:sz w:val="22"/>
          <w:szCs w:val="22"/>
        </w:rPr>
        <w:t xml:space="preserve">NVŠ </w:t>
      </w:r>
      <w:r>
        <w:rPr>
          <w:sz w:val="22"/>
          <w:szCs w:val="22"/>
        </w:rPr>
        <w:t xml:space="preserve"> iki einamojo mėnesio 1</w:t>
      </w:r>
      <w:r w:rsidR="0061703C">
        <w:rPr>
          <w:sz w:val="22"/>
          <w:szCs w:val="22"/>
        </w:rPr>
        <w:t xml:space="preserve">5 </w:t>
      </w:r>
      <w:r>
        <w:rPr>
          <w:sz w:val="22"/>
          <w:szCs w:val="22"/>
        </w:rPr>
        <w:t>dienos. Būrelį pradėjus lankyti nuo mėnesio vidurio – sumokėti nė vėliau kaip iki paskutinės einamojo mėnesio dienos.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5.2.Nusprendus nebelankyti būrelio, informuoti </w:t>
      </w:r>
      <w:r w:rsidRPr="00D32E05">
        <w:rPr>
          <w:b/>
          <w:sz w:val="22"/>
          <w:szCs w:val="22"/>
        </w:rPr>
        <w:t>Paslaugos teikėją</w:t>
      </w:r>
      <w:r>
        <w:rPr>
          <w:sz w:val="22"/>
          <w:szCs w:val="22"/>
        </w:rPr>
        <w:t xml:space="preserve"> bendruoju telefonu 516001, mobiliu</w:t>
      </w:r>
      <w:r w:rsidR="00D32E05">
        <w:rPr>
          <w:sz w:val="22"/>
          <w:szCs w:val="22"/>
        </w:rPr>
        <w:t>oju</w:t>
      </w:r>
      <w:r>
        <w:rPr>
          <w:sz w:val="22"/>
          <w:szCs w:val="22"/>
        </w:rPr>
        <w:t xml:space="preserve"> telefonu 867107411 arba būrelio mokytoją. Laiku neinformavus, mokėti priskaitytą atlyginimą už ugdymą.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Užtikrinti, kad vaikas atvyktų į </w:t>
      </w:r>
      <w:proofErr w:type="spellStart"/>
      <w:r>
        <w:rPr>
          <w:sz w:val="22"/>
          <w:szCs w:val="22"/>
        </w:rPr>
        <w:t>užsiėmimus</w:t>
      </w:r>
      <w:proofErr w:type="spellEnd"/>
      <w:r>
        <w:rPr>
          <w:sz w:val="22"/>
          <w:szCs w:val="22"/>
        </w:rPr>
        <w:t xml:space="preserve"> būrelio</w:t>
      </w:r>
      <w:r w:rsidR="00D32E05">
        <w:rPr>
          <w:sz w:val="22"/>
          <w:szCs w:val="22"/>
        </w:rPr>
        <w:t xml:space="preserve"> (grupės)</w:t>
      </w:r>
      <w:r>
        <w:rPr>
          <w:sz w:val="22"/>
          <w:szCs w:val="22"/>
        </w:rPr>
        <w:t xml:space="preserve"> darbo grafike nurodytu laiku, o išeitų iš užsiėmimo anksčiau laiko tik informavęs mokytoją.</w:t>
      </w:r>
    </w:p>
    <w:p w:rsidR="00415CB5" w:rsidRDefault="00415CB5" w:rsidP="00415CB5">
      <w:pPr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5.4. Užtikrinti, kad vaikas klausytų mokytojų nurodymų, laikytųsi </w:t>
      </w:r>
      <w:r w:rsidR="0061703C">
        <w:rPr>
          <w:sz w:val="22"/>
          <w:szCs w:val="22"/>
        </w:rPr>
        <w:t>mokyklos m</w:t>
      </w:r>
      <w:r>
        <w:rPr>
          <w:sz w:val="22"/>
          <w:szCs w:val="22"/>
        </w:rPr>
        <w:t>okinių vidaus tvarkos taisyklių, saugaus elgesio taisyklių, higienos ir sanitarijos reikalavimų užsiėmimų, renginių, pertraukų ir išvykų metu.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5.5.Laiku pateikti </w:t>
      </w:r>
      <w:r w:rsidRPr="0061703C">
        <w:rPr>
          <w:b/>
          <w:sz w:val="22"/>
          <w:szCs w:val="22"/>
        </w:rPr>
        <w:t>Paslaugos gavėjui</w:t>
      </w:r>
      <w:r>
        <w:rPr>
          <w:sz w:val="22"/>
          <w:szCs w:val="22"/>
        </w:rPr>
        <w:t xml:space="preserve"> dokumentus, reikalingus atlyginimo už neformalųjį vaikų švietimą lengvatų taikymui</w:t>
      </w:r>
      <w:r w:rsidR="0061703C">
        <w:rPr>
          <w:sz w:val="22"/>
          <w:szCs w:val="22"/>
        </w:rPr>
        <w:t xml:space="preserve">, jei jos priklauso teisės aktų nustatyta tvarka. </w:t>
      </w:r>
      <w:r>
        <w:rPr>
          <w:sz w:val="22"/>
          <w:szCs w:val="22"/>
        </w:rPr>
        <w:t>Nepateikus reikiamų dokumentų, atlyginimą mokėti bendra tvarka.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 w:rsidR="0061703C">
        <w:rPr>
          <w:sz w:val="22"/>
          <w:szCs w:val="22"/>
        </w:rPr>
        <w:t xml:space="preserve">Raštu informuoti apie mokinio sveikatos sutrikimus, į kuriuos turėtų atsižvelgti </w:t>
      </w:r>
      <w:r w:rsidR="0061703C" w:rsidRPr="0061703C">
        <w:rPr>
          <w:b/>
          <w:sz w:val="22"/>
          <w:szCs w:val="22"/>
        </w:rPr>
        <w:t>Paslaugos teikėjas</w:t>
      </w:r>
      <w:r>
        <w:rPr>
          <w:sz w:val="22"/>
          <w:szCs w:val="22"/>
        </w:rPr>
        <w:t>.</w:t>
      </w:r>
    </w:p>
    <w:p w:rsidR="00415CB5" w:rsidRPr="00703654" w:rsidRDefault="00415CB5" w:rsidP="00415C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6.Paslaugos gavėjas</w:t>
      </w:r>
      <w:r w:rsidRPr="00703654">
        <w:rPr>
          <w:sz w:val="22"/>
          <w:szCs w:val="22"/>
        </w:rPr>
        <w:t xml:space="preserve"> turi teisę: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6.1.Gauti iš </w:t>
      </w:r>
      <w:r w:rsidRPr="004C2B23">
        <w:rPr>
          <w:b/>
          <w:sz w:val="22"/>
          <w:szCs w:val="22"/>
        </w:rPr>
        <w:t>Paslaugų teikėjo</w:t>
      </w:r>
      <w:r>
        <w:rPr>
          <w:sz w:val="22"/>
          <w:szCs w:val="22"/>
        </w:rPr>
        <w:t xml:space="preserve"> išsamią informaciją apie mokykloje </w:t>
      </w:r>
      <w:r w:rsidR="0061703C">
        <w:rPr>
          <w:sz w:val="22"/>
          <w:szCs w:val="22"/>
        </w:rPr>
        <w:t>vykdomas</w:t>
      </w:r>
      <w:r>
        <w:rPr>
          <w:sz w:val="22"/>
          <w:szCs w:val="22"/>
        </w:rPr>
        <w:t xml:space="preserve"> </w:t>
      </w:r>
      <w:r w:rsidR="004C2B23">
        <w:rPr>
          <w:sz w:val="22"/>
          <w:szCs w:val="22"/>
        </w:rPr>
        <w:t xml:space="preserve">NVŠ </w:t>
      </w:r>
      <w:r>
        <w:rPr>
          <w:sz w:val="22"/>
          <w:szCs w:val="22"/>
        </w:rPr>
        <w:t>programas.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Pasirinkti ir lankyti vieną ar kelias </w:t>
      </w:r>
      <w:r w:rsidR="004C2B23">
        <w:rPr>
          <w:sz w:val="22"/>
          <w:szCs w:val="22"/>
        </w:rPr>
        <w:t xml:space="preserve"> NVŠ </w:t>
      </w:r>
      <w:r>
        <w:rPr>
          <w:sz w:val="22"/>
          <w:szCs w:val="22"/>
        </w:rPr>
        <w:t>programas (būrelius) pagal savo amžių, poreikius bei pomėgius.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6.3.Keisti programą mokslo metų eigoje pagal vaiko poreikius.</w:t>
      </w:r>
    </w:p>
    <w:p w:rsidR="00415CB5" w:rsidRDefault="00415CB5" w:rsidP="00415CB5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6.4.Aktyviai dalyvauti </w:t>
      </w:r>
      <w:r w:rsidR="004C2B23" w:rsidRPr="004C2B23">
        <w:rPr>
          <w:b/>
          <w:sz w:val="22"/>
          <w:szCs w:val="22"/>
        </w:rPr>
        <w:t>Paslaugos teikėjo</w:t>
      </w:r>
      <w:r>
        <w:rPr>
          <w:sz w:val="22"/>
          <w:szCs w:val="22"/>
        </w:rPr>
        <w:t xml:space="preserve"> renginiuose, šventėse, mokyklos savivaldoje.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6.5.Ginti savo teises įstatymų numatyta tvarka.</w:t>
      </w:r>
    </w:p>
    <w:p w:rsidR="004C2B23" w:rsidRDefault="004C2B23" w:rsidP="00415CB5">
      <w:pPr>
        <w:jc w:val="both"/>
        <w:rPr>
          <w:sz w:val="22"/>
          <w:szCs w:val="22"/>
        </w:rPr>
      </w:pPr>
    </w:p>
    <w:p w:rsidR="00415CB5" w:rsidRDefault="00303593" w:rsidP="00415CB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415CB5">
        <w:rPr>
          <w:b/>
          <w:sz w:val="22"/>
          <w:szCs w:val="22"/>
        </w:rPr>
        <w:t>V.</w:t>
      </w:r>
      <w:r w:rsidR="00FE01AC">
        <w:rPr>
          <w:b/>
          <w:sz w:val="22"/>
          <w:szCs w:val="22"/>
        </w:rPr>
        <w:t xml:space="preserve"> </w:t>
      </w:r>
      <w:r w:rsidR="00415CB5">
        <w:rPr>
          <w:b/>
          <w:sz w:val="22"/>
          <w:szCs w:val="22"/>
        </w:rPr>
        <w:t>PASLAUGOS KAINA IR ATSISKAITYMO TVARKA</w:t>
      </w:r>
    </w:p>
    <w:p w:rsidR="004C2B23" w:rsidRDefault="004C2B23" w:rsidP="00415CB5">
      <w:pPr>
        <w:ind w:left="360"/>
        <w:jc w:val="center"/>
        <w:rPr>
          <w:b/>
          <w:sz w:val="22"/>
          <w:szCs w:val="22"/>
        </w:rPr>
      </w:pPr>
    </w:p>
    <w:p w:rsidR="004C2B23" w:rsidRDefault="004C2B23" w:rsidP="004C2B23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E115C3">
        <w:rPr>
          <w:sz w:val="22"/>
          <w:szCs w:val="22"/>
        </w:rPr>
        <w:t xml:space="preserve">. Vaiko </w:t>
      </w:r>
      <w:r w:rsidRPr="00E115C3">
        <w:rPr>
          <w:b/>
          <w:sz w:val="22"/>
          <w:szCs w:val="22"/>
        </w:rPr>
        <w:t>(Paslaugos gavėjo)</w:t>
      </w:r>
      <w:r w:rsidRPr="00E115C3">
        <w:rPr>
          <w:sz w:val="22"/>
          <w:szCs w:val="22"/>
        </w:rPr>
        <w:t xml:space="preserve">, dalyvaujančio pasirinktoje NVŠ programoje, ugdymo procesas  finansuojamas Panevėžio miesto savivaldybės biudžeto lėšomis ir tėvų lėšomis. </w:t>
      </w:r>
    </w:p>
    <w:p w:rsidR="00415CB5" w:rsidRDefault="004C2B23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15CB5">
        <w:rPr>
          <w:b/>
          <w:sz w:val="22"/>
          <w:szCs w:val="22"/>
        </w:rPr>
        <w:t>.</w:t>
      </w:r>
      <w:r w:rsidR="00415CB5">
        <w:rPr>
          <w:sz w:val="22"/>
          <w:szCs w:val="22"/>
        </w:rPr>
        <w:t xml:space="preserve"> Panevėžio miesto savivaldybės tarybos sprendimu</w:t>
      </w:r>
      <w:r>
        <w:rPr>
          <w:sz w:val="22"/>
          <w:szCs w:val="22"/>
        </w:rPr>
        <w:t xml:space="preserve"> nustatytas </w:t>
      </w:r>
      <w:r w:rsidRPr="004C2B23">
        <w:rPr>
          <w:b/>
          <w:sz w:val="22"/>
          <w:szCs w:val="22"/>
        </w:rPr>
        <w:t>Paslaugos gavėjo</w:t>
      </w:r>
      <w:r>
        <w:rPr>
          <w:sz w:val="22"/>
          <w:szCs w:val="22"/>
        </w:rPr>
        <w:t xml:space="preserve"> mokamas atlyginimas už ugdymo paslaugas – 5 Eurai už vieną mokslo metų mėnesį.</w:t>
      </w:r>
    </w:p>
    <w:p w:rsidR="00415CB5" w:rsidRDefault="004C2B23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415CB5">
        <w:rPr>
          <w:sz w:val="22"/>
          <w:szCs w:val="22"/>
        </w:rPr>
        <w:t xml:space="preserve">Atlyginimas už ugdymo paslaugas </w:t>
      </w:r>
      <w:r w:rsidR="00303593" w:rsidRPr="00303593">
        <w:rPr>
          <w:b/>
          <w:sz w:val="22"/>
          <w:szCs w:val="22"/>
        </w:rPr>
        <w:t>Paslaugos teikėjo</w:t>
      </w:r>
      <w:r w:rsidR="00303593">
        <w:rPr>
          <w:sz w:val="22"/>
          <w:szCs w:val="22"/>
        </w:rPr>
        <w:t xml:space="preserve"> nustatyta tvarka </w:t>
      </w:r>
      <w:r w:rsidR="00415CB5">
        <w:rPr>
          <w:sz w:val="22"/>
          <w:szCs w:val="22"/>
        </w:rPr>
        <w:t xml:space="preserve">turi būti sumokėtas mokyklos kasoje arba pavedimu į </w:t>
      </w:r>
      <w:r w:rsidR="00303593" w:rsidRPr="00303593">
        <w:rPr>
          <w:b/>
          <w:sz w:val="22"/>
          <w:szCs w:val="22"/>
        </w:rPr>
        <w:t>Paslaugos teikėjo</w:t>
      </w:r>
      <w:r w:rsidR="00415CB5">
        <w:rPr>
          <w:sz w:val="22"/>
          <w:szCs w:val="22"/>
        </w:rPr>
        <w:t xml:space="preserve"> sąskaitą LT 21 7300 0100 0238 7333 (</w:t>
      </w:r>
      <w:proofErr w:type="spellStart"/>
      <w:r w:rsidR="00415CB5">
        <w:rPr>
          <w:sz w:val="22"/>
          <w:szCs w:val="22"/>
        </w:rPr>
        <w:t>įst</w:t>
      </w:r>
      <w:proofErr w:type="spellEnd"/>
      <w:r w:rsidR="00415CB5">
        <w:rPr>
          <w:sz w:val="22"/>
          <w:szCs w:val="22"/>
        </w:rPr>
        <w:t xml:space="preserve">. kodas 290427210) nurodant vaiko vardą, pavardę, </w:t>
      </w:r>
      <w:r w:rsidR="00303593">
        <w:rPr>
          <w:sz w:val="22"/>
          <w:szCs w:val="22"/>
        </w:rPr>
        <w:t>NVŠ programos (</w:t>
      </w:r>
      <w:r w:rsidR="00415CB5">
        <w:rPr>
          <w:sz w:val="22"/>
          <w:szCs w:val="22"/>
        </w:rPr>
        <w:t>būrelio</w:t>
      </w:r>
      <w:r w:rsidR="00303593">
        <w:rPr>
          <w:sz w:val="22"/>
          <w:szCs w:val="22"/>
        </w:rPr>
        <w:t>)</w:t>
      </w:r>
      <w:r w:rsidR="00415CB5">
        <w:rPr>
          <w:sz w:val="22"/>
          <w:szCs w:val="22"/>
        </w:rPr>
        <w:t xml:space="preserve">  pavadinimą ir mokestinį laikotarpį</w:t>
      </w:r>
      <w:r w:rsidR="00303593">
        <w:rPr>
          <w:sz w:val="22"/>
          <w:szCs w:val="22"/>
        </w:rPr>
        <w:t>)</w:t>
      </w:r>
      <w:r w:rsidR="00415CB5">
        <w:rPr>
          <w:sz w:val="22"/>
          <w:szCs w:val="22"/>
        </w:rPr>
        <w:t>.</w:t>
      </w:r>
    </w:p>
    <w:p w:rsidR="00415CB5" w:rsidRDefault="00415CB5" w:rsidP="00415CB5">
      <w:pPr>
        <w:jc w:val="center"/>
        <w:rPr>
          <w:b/>
          <w:sz w:val="22"/>
          <w:szCs w:val="22"/>
        </w:rPr>
      </w:pPr>
    </w:p>
    <w:p w:rsidR="00415CB5" w:rsidRDefault="00415CB5" w:rsidP="00415C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SUTARTIES ĮSIGALIOJIMAS, GALIOJIMAS IR NUTRAUKIMO TVARKA</w:t>
      </w:r>
    </w:p>
    <w:p w:rsidR="00415CB5" w:rsidRDefault="00415CB5" w:rsidP="00415CB5">
      <w:pPr>
        <w:jc w:val="center"/>
        <w:rPr>
          <w:b/>
          <w:sz w:val="22"/>
          <w:szCs w:val="22"/>
        </w:rPr>
      </w:pPr>
    </w:p>
    <w:p w:rsidR="00415CB5" w:rsidRDefault="00303593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15CB5">
        <w:rPr>
          <w:sz w:val="22"/>
          <w:szCs w:val="22"/>
        </w:rPr>
        <w:t>.Sutartis įsigalioja nuo jos pasirašymo dienos ir galioja vienerius mokslo metus</w:t>
      </w:r>
      <w:r>
        <w:rPr>
          <w:sz w:val="22"/>
          <w:szCs w:val="22"/>
        </w:rPr>
        <w:t xml:space="preserve"> </w:t>
      </w:r>
      <w:r w:rsidR="00415CB5">
        <w:rPr>
          <w:sz w:val="22"/>
          <w:szCs w:val="22"/>
        </w:rPr>
        <w:t xml:space="preserve"> </w:t>
      </w:r>
      <w:r>
        <w:rPr>
          <w:sz w:val="22"/>
          <w:szCs w:val="22"/>
        </w:rPr>
        <w:t>iki NVŠ programos pabaigos.</w:t>
      </w: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0359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303593">
        <w:rPr>
          <w:b/>
          <w:sz w:val="22"/>
          <w:szCs w:val="22"/>
        </w:rPr>
        <w:t>Paslaugos gavėjas</w:t>
      </w:r>
      <w:r>
        <w:rPr>
          <w:sz w:val="22"/>
          <w:szCs w:val="22"/>
        </w:rPr>
        <w:t xml:space="preserve"> turi teisę vienašališkai nutraukti šią sutartį apie tai įspėjęs </w:t>
      </w:r>
      <w:r w:rsidRPr="00303593">
        <w:rPr>
          <w:b/>
          <w:sz w:val="22"/>
          <w:szCs w:val="22"/>
        </w:rPr>
        <w:t>Paslaugos teikėją</w:t>
      </w:r>
      <w:r>
        <w:rPr>
          <w:sz w:val="22"/>
          <w:szCs w:val="22"/>
        </w:rPr>
        <w:t xml:space="preserve"> ir pilnai atsiskaitęs už suteiktas paslaugas iki sutarties nutraukimo termino.</w:t>
      </w:r>
    </w:p>
    <w:p w:rsidR="00415CB5" w:rsidRDefault="00415CB5" w:rsidP="00415CB5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="00303593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303593">
        <w:rPr>
          <w:b/>
          <w:sz w:val="22"/>
          <w:szCs w:val="22"/>
        </w:rPr>
        <w:t>Paslaugos teikėjas</w:t>
      </w:r>
      <w:r>
        <w:rPr>
          <w:sz w:val="22"/>
          <w:szCs w:val="22"/>
        </w:rPr>
        <w:t xml:space="preserve"> turi teisę vienašališkai nutraukti šią sutartį apie tai įspėjęs </w:t>
      </w:r>
      <w:r w:rsidRPr="00303593">
        <w:rPr>
          <w:b/>
          <w:sz w:val="22"/>
          <w:szCs w:val="22"/>
        </w:rPr>
        <w:t>Paslaugos gavėją</w:t>
      </w:r>
      <w:r>
        <w:rPr>
          <w:sz w:val="22"/>
          <w:szCs w:val="22"/>
        </w:rPr>
        <w:t xml:space="preserve">, jei jis savalaikiai  nesumoka atlyginimo už Moksleivių namuose teikiamas </w:t>
      </w:r>
      <w:r w:rsidR="00303593">
        <w:rPr>
          <w:sz w:val="22"/>
          <w:szCs w:val="22"/>
        </w:rPr>
        <w:t>NVŠ paslaugas</w:t>
      </w:r>
      <w:r>
        <w:rPr>
          <w:color w:val="FF0000"/>
          <w:sz w:val="22"/>
          <w:szCs w:val="22"/>
        </w:rPr>
        <w:t xml:space="preserve">. </w:t>
      </w:r>
    </w:p>
    <w:p w:rsidR="00415CB5" w:rsidRDefault="00415CB5" w:rsidP="00415CB5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</w:rPr>
        <w:t>1</w:t>
      </w:r>
      <w:r w:rsidR="0030359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b/>
          <w:i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Sutarties nutraukimas nepanaikina </w:t>
      </w:r>
      <w:r w:rsidRPr="00303593">
        <w:rPr>
          <w:b/>
          <w:sz w:val="22"/>
          <w:szCs w:val="22"/>
          <w:lang w:val="pt-BR"/>
        </w:rPr>
        <w:t>Paslaugos gavėjo</w:t>
      </w:r>
      <w:r>
        <w:rPr>
          <w:sz w:val="22"/>
          <w:szCs w:val="22"/>
          <w:lang w:val="pt-BR"/>
        </w:rPr>
        <w:t xml:space="preserve"> pareigos sumokėti atlyginimo už suteiktas paslaugas.</w:t>
      </w:r>
    </w:p>
    <w:p w:rsidR="00415CB5" w:rsidRDefault="00415CB5" w:rsidP="00415CB5">
      <w:pPr>
        <w:jc w:val="center"/>
        <w:rPr>
          <w:b/>
          <w:sz w:val="22"/>
          <w:szCs w:val="22"/>
        </w:rPr>
      </w:pPr>
    </w:p>
    <w:p w:rsidR="00415CB5" w:rsidRDefault="00415CB5" w:rsidP="00415C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C2B2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GINČŲ SPRENDIMAS</w:t>
      </w:r>
    </w:p>
    <w:p w:rsidR="00415CB5" w:rsidRDefault="00415CB5" w:rsidP="00415CB5">
      <w:pPr>
        <w:jc w:val="center"/>
        <w:rPr>
          <w:b/>
          <w:sz w:val="22"/>
          <w:szCs w:val="22"/>
        </w:rPr>
      </w:pPr>
    </w:p>
    <w:p w:rsidR="00415CB5" w:rsidRDefault="00415CB5" w:rsidP="00415CB5">
      <w:pPr>
        <w:tabs>
          <w:tab w:val="left" w:pos="426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</w:rPr>
        <w:t>1</w:t>
      </w:r>
      <w:r w:rsidR="00303593">
        <w:rPr>
          <w:sz w:val="22"/>
          <w:szCs w:val="22"/>
        </w:rPr>
        <w:t>4</w:t>
      </w:r>
      <w:r>
        <w:rPr>
          <w:sz w:val="22"/>
          <w:szCs w:val="22"/>
        </w:rPr>
        <w:t xml:space="preserve">.Šalių ginčai, sutarties pažeidimo klausimai sprendžiami </w:t>
      </w:r>
      <w:r w:rsidR="00303593">
        <w:rPr>
          <w:sz w:val="22"/>
          <w:szCs w:val="22"/>
          <w:lang w:val="pt-BR"/>
        </w:rPr>
        <w:t>derybų keliu.</w:t>
      </w:r>
      <w:r>
        <w:rPr>
          <w:sz w:val="22"/>
          <w:szCs w:val="22"/>
          <w:lang w:val="pt-BR"/>
        </w:rPr>
        <w:t>Nepavykus ginčų išspręsti derybomis, jie sprendžiami Lietuvos Respublikos įstatymų nustatyta tvarka.</w:t>
      </w:r>
    </w:p>
    <w:p w:rsidR="00415CB5" w:rsidRDefault="00415CB5" w:rsidP="00415CB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03654">
        <w:rPr>
          <w:sz w:val="22"/>
          <w:szCs w:val="22"/>
        </w:rPr>
        <w:t>5</w:t>
      </w:r>
      <w:r>
        <w:rPr>
          <w:sz w:val="22"/>
          <w:szCs w:val="22"/>
        </w:rPr>
        <w:t>.Sutartis sudaryta dviem egzemplioriais, turinčiais vienodą juridinę galią (po 1egz. kiekvienai šaliai).</w:t>
      </w:r>
    </w:p>
    <w:p w:rsidR="00415CB5" w:rsidRDefault="00415CB5" w:rsidP="00415CB5">
      <w:pPr>
        <w:jc w:val="both"/>
        <w:rPr>
          <w:sz w:val="22"/>
          <w:szCs w:val="22"/>
        </w:rPr>
      </w:pPr>
    </w:p>
    <w:p w:rsidR="00415CB5" w:rsidRDefault="00415CB5" w:rsidP="00415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Sutarties šalių parašai:                                                                                                                  </w:t>
      </w:r>
    </w:p>
    <w:tbl>
      <w:tblPr>
        <w:tblW w:w="10687" w:type="dxa"/>
        <w:tblInd w:w="-34" w:type="dxa"/>
        <w:tblLook w:val="04A0" w:firstRow="1" w:lastRow="0" w:firstColumn="1" w:lastColumn="0" w:noHBand="0" w:noVBand="1"/>
      </w:tblPr>
      <w:tblGrid>
        <w:gridCol w:w="3948"/>
        <w:gridCol w:w="1614"/>
        <w:gridCol w:w="5125"/>
      </w:tblGrid>
      <w:tr w:rsidR="00415CB5" w:rsidTr="00415CB5">
        <w:tc>
          <w:tcPr>
            <w:tcW w:w="3948" w:type="dxa"/>
            <w:vAlign w:val="bottom"/>
            <w:hideMark/>
          </w:tcPr>
          <w:p w:rsidR="00415CB5" w:rsidRDefault="00415CB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Paslaugos  teikėjas</w:t>
            </w:r>
          </w:p>
        </w:tc>
        <w:tc>
          <w:tcPr>
            <w:tcW w:w="1614" w:type="dxa"/>
            <w:vAlign w:val="bottom"/>
          </w:tcPr>
          <w:p w:rsidR="00415CB5" w:rsidRDefault="00415CB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25" w:type="dxa"/>
            <w:vAlign w:val="center"/>
            <w:hideMark/>
          </w:tcPr>
          <w:p w:rsidR="00415CB5" w:rsidRDefault="00415CB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Paslaugos gavėjas</w:t>
            </w:r>
          </w:p>
        </w:tc>
      </w:tr>
      <w:tr w:rsidR="00415CB5" w:rsidTr="00415CB5">
        <w:tc>
          <w:tcPr>
            <w:tcW w:w="3948" w:type="dxa"/>
            <w:hideMark/>
          </w:tcPr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HG Mincho Light J"/>
                <w:color w:val="000000"/>
                <w:sz w:val="22"/>
                <w:szCs w:val="22"/>
                <w:shd w:val="clear" w:color="auto" w:fill="FFFFFF"/>
              </w:rPr>
              <w:t>Panevėžio moksleivių namų direktorė</w:t>
            </w:r>
          </w:p>
        </w:tc>
        <w:tc>
          <w:tcPr>
            <w:tcW w:w="1614" w:type="dxa"/>
          </w:tcPr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5" w:type="dxa"/>
            <w:vAlign w:val="center"/>
            <w:hideMark/>
          </w:tcPr>
          <w:p w:rsidR="00415CB5" w:rsidRDefault="00415C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Tėvai (globėjai, rūpintojai)</w:t>
            </w:r>
          </w:p>
        </w:tc>
      </w:tr>
      <w:tr w:rsidR="00415CB5" w:rsidTr="00415CB5">
        <w:trPr>
          <w:trHeight w:val="331"/>
        </w:trPr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color w:val="000000"/>
                <w:sz w:val="22"/>
                <w:szCs w:val="22"/>
                <w:shd w:val="clear" w:color="auto" w:fill="FFFFFF"/>
              </w:rPr>
            </w:pPr>
          </w:p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color w:val="000000"/>
                <w:sz w:val="22"/>
                <w:szCs w:val="22"/>
                <w:shd w:val="clear" w:color="auto" w:fill="FFFFFF"/>
              </w:rPr>
            </w:pPr>
          </w:p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HG Mincho Light J"/>
                <w:color w:val="000000"/>
                <w:sz w:val="22"/>
                <w:szCs w:val="22"/>
                <w:shd w:val="clear" w:color="auto" w:fill="FFFFFF"/>
              </w:rPr>
              <w:t>Raminta Juzėnienė</w:t>
            </w:r>
          </w:p>
        </w:tc>
        <w:tc>
          <w:tcPr>
            <w:tcW w:w="1614" w:type="dxa"/>
          </w:tcPr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15CB5" w:rsidTr="00415CB5">
        <w:tc>
          <w:tcPr>
            <w:tcW w:w="39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HG Mincho Light J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</w:t>
            </w:r>
            <w:r>
              <w:rPr>
                <w:rFonts w:eastAsia="HG Mincho Light J"/>
                <w:color w:val="000000"/>
                <w:sz w:val="18"/>
                <w:szCs w:val="18"/>
                <w:shd w:val="clear" w:color="auto" w:fill="FFFFFF"/>
              </w:rPr>
              <w:t xml:space="preserve">(parašas)             </w:t>
            </w:r>
          </w:p>
        </w:tc>
        <w:tc>
          <w:tcPr>
            <w:tcW w:w="1614" w:type="dxa"/>
          </w:tcPr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HG Mincho Light J"/>
                <w:color w:val="000000"/>
                <w:sz w:val="18"/>
                <w:szCs w:val="18"/>
                <w:shd w:val="clear" w:color="auto" w:fill="FFFFFF"/>
              </w:rPr>
              <w:t>(vieno iš tėvų (globėjo, rūpintojo) vardas, pavardė  parašas)</w:t>
            </w:r>
          </w:p>
        </w:tc>
      </w:tr>
      <w:tr w:rsidR="00415CB5" w:rsidTr="00415CB5">
        <w:tc>
          <w:tcPr>
            <w:tcW w:w="3948" w:type="dxa"/>
            <w:hideMark/>
          </w:tcPr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HG Mincho Light J"/>
                <w:color w:val="000000"/>
                <w:sz w:val="22"/>
                <w:szCs w:val="22"/>
                <w:shd w:val="clear" w:color="auto" w:fill="FFFFFF"/>
              </w:rPr>
              <w:t>A.V.</w:t>
            </w:r>
          </w:p>
        </w:tc>
        <w:tc>
          <w:tcPr>
            <w:tcW w:w="1614" w:type="dxa"/>
          </w:tcPr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5" w:type="dxa"/>
          </w:tcPr>
          <w:p w:rsidR="00415CB5" w:rsidRDefault="00415CB5">
            <w:pPr>
              <w:pStyle w:val="Tekstas"/>
              <w:spacing w:after="0" w:line="200" w:lineRule="atLeast"/>
              <w:jc w:val="both"/>
              <w:rPr>
                <w:rFonts w:eastAsia="HG Mincho Light J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415CB5" w:rsidRDefault="00415CB5" w:rsidP="00415CB5">
      <w:pPr>
        <w:jc w:val="both"/>
        <w:rPr>
          <w:sz w:val="22"/>
          <w:szCs w:val="22"/>
        </w:rPr>
      </w:pPr>
    </w:p>
    <w:p w:rsidR="00415CB5" w:rsidRDefault="00415CB5" w:rsidP="00415CB5">
      <w:pPr>
        <w:ind w:left="-709" w:firstLine="709"/>
      </w:pPr>
    </w:p>
    <w:p w:rsidR="004A1E06" w:rsidRDefault="004A1E06"/>
    <w:sectPr w:rsidR="004A1E06" w:rsidSect="00415CB5">
      <w:pgSz w:w="12240" w:h="15840"/>
      <w:pgMar w:top="568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BA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619"/>
    <w:multiLevelType w:val="hybridMultilevel"/>
    <w:tmpl w:val="1E34FC0C"/>
    <w:lvl w:ilvl="0" w:tplc="480A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5"/>
    <w:rsid w:val="0004167A"/>
    <w:rsid w:val="000C49E8"/>
    <w:rsid w:val="000D5A53"/>
    <w:rsid w:val="002E44CC"/>
    <w:rsid w:val="00303593"/>
    <w:rsid w:val="00415CB5"/>
    <w:rsid w:val="004A1E06"/>
    <w:rsid w:val="004A503D"/>
    <w:rsid w:val="004C2B23"/>
    <w:rsid w:val="0055033E"/>
    <w:rsid w:val="005D1CFF"/>
    <w:rsid w:val="0061703C"/>
    <w:rsid w:val="00626A87"/>
    <w:rsid w:val="00703654"/>
    <w:rsid w:val="008C59DB"/>
    <w:rsid w:val="00AE324A"/>
    <w:rsid w:val="00D32E05"/>
    <w:rsid w:val="00DC7713"/>
    <w:rsid w:val="00E443FD"/>
    <w:rsid w:val="00F5054B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28D0A-0EB3-4EC4-A136-87F9F9EA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kstas">
    <w:name w:val="Tekstas"/>
    <w:basedOn w:val="prastasis"/>
    <w:rsid w:val="00415CB5"/>
    <w:pPr>
      <w:widowControl w:val="0"/>
      <w:suppressAutoHyphens/>
      <w:spacing w:after="120"/>
    </w:pPr>
    <w:rPr>
      <w:rFonts w:eastAsia="Lucida Sans Unicode"/>
      <w:lang w:eastAsia="ar-SA"/>
    </w:rPr>
  </w:style>
  <w:style w:type="table" w:styleId="Lentelstinklelis">
    <w:name w:val="Table Grid"/>
    <w:basedOn w:val="prastojilentel"/>
    <w:uiPriority w:val="59"/>
    <w:rsid w:val="00415CB5"/>
    <w:pPr>
      <w:spacing w:after="0" w:line="240" w:lineRule="auto"/>
      <w:ind w:left="369"/>
      <w:jc w:val="both"/>
    </w:pPr>
    <w:rPr>
      <w:rFonts w:ascii="Times New Roman" w:hAnsi="Times New Roman" w:cs="Times New Roman"/>
      <w:sz w:val="24"/>
      <w:szCs w:val="24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E01A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01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01AC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2018-09-10T10:10:00Z</cp:lastPrinted>
  <dcterms:created xsi:type="dcterms:W3CDTF">2018-09-19T12:40:00Z</dcterms:created>
  <dcterms:modified xsi:type="dcterms:W3CDTF">2018-09-19T12:40:00Z</dcterms:modified>
</cp:coreProperties>
</file>